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5FA4" w14:textId="36DE8458" w:rsidR="00BB601D" w:rsidRPr="00312382" w:rsidRDefault="00BB601D" w:rsidP="004D0384">
      <w:pPr>
        <w:pStyle w:val="GvdeMetniGirintisi"/>
        <w:rPr>
          <w:sz w:val="28"/>
          <w:szCs w:val="28"/>
        </w:rPr>
      </w:pPr>
      <w:r w:rsidRPr="00312382">
        <w:rPr>
          <w:sz w:val="28"/>
          <w:szCs w:val="28"/>
        </w:rPr>
        <w:t>CEZALAR </w:t>
      </w:r>
    </w:p>
    <w:p w14:paraId="1187F9FD" w14:textId="77777777" w:rsidR="004D0384" w:rsidRPr="00312382" w:rsidRDefault="004D0384" w:rsidP="004D0384">
      <w:pPr>
        <w:pStyle w:val="GvdeMetniGirintisi"/>
        <w:rPr>
          <w:sz w:val="28"/>
          <w:szCs w:val="28"/>
        </w:rPr>
      </w:pPr>
    </w:p>
    <w:tbl>
      <w:tblPr>
        <w:tblW w:w="14587" w:type="dxa"/>
        <w:jc w:val="center"/>
        <w:tblCellMar>
          <w:left w:w="0" w:type="dxa"/>
          <w:right w:w="0" w:type="dxa"/>
        </w:tblCellMar>
        <w:tblLook w:val="04A0" w:firstRow="1" w:lastRow="0" w:firstColumn="1" w:lastColumn="0" w:noHBand="0" w:noVBand="1"/>
      </w:tblPr>
      <w:tblGrid>
        <w:gridCol w:w="968"/>
        <w:gridCol w:w="7427"/>
        <w:gridCol w:w="2268"/>
        <w:gridCol w:w="1962"/>
        <w:gridCol w:w="1962"/>
      </w:tblGrid>
      <w:tr w:rsidR="00BB601D" w:rsidRPr="00312382" w14:paraId="2F1510DF" w14:textId="77777777" w:rsidTr="00BB601D">
        <w:trPr>
          <w:trHeight w:val="715"/>
          <w:tblHeader/>
          <w:jc w:val="center"/>
        </w:trPr>
        <w:tc>
          <w:tcPr>
            <w:tcW w:w="9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85E003" w14:textId="77777777" w:rsidR="00BB601D" w:rsidRPr="00312382" w:rsidRDefault="00BB601D" w:rsidP="00395449">
            <w:pPr>
              <w:jc w:val="center"/>
              <w:rPr>
                <w:rFonts w:ascii="Times New Roman" w:hAnsi="Times New Roman" w:cs="Times New Roman"/>
                <w:sz w:val="28"/>
                <w:szCs w:val="28"/>
              </w:rPr>
            </w:pPr>
            <w:bookmarkStart w:id="0" w:name="_Hlk85704687"/>
            <w:r w:rsidRPr="00312382">
              <w:rPr>
                <w:rFonts w:ascii="Times New Roman" w:hAnsi="Times New Roman" w:cs="Times New Roman"/>
                <w:b/>
                <w:bCs/>
                <w:sz w:val="28"/>
                <w:szCs w:val="28"/>
              </w:rPr>
              <w:br/>
            </w:r>
          </w:p>
        </w:tc>
        <w:tc>
          <w:tcPr>
            <w:tcW w:w="74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EF86DE" w14:textId="77777777" w:rsidR="00BB601D" w:rsidRPr="00312382" w:rsidRDefault="00BB601D" w:rsidP="00395449">
            <w:pPr>
              <w:jc w:val="both"/>
              <w:rPr>
                <w:rFonts w:ascii="Times New Roman" w:hAnsi="Times New Roman" w:cs="Times New Roman"/>
                <w:b/>
                <w:bCs/>
                <w:sz w:val="28"/>
                <w:szCs w:val="28"/>
              </w:rPr>
            </w:pPr>
            <w:r w:rsidRPr="00312382">
              <w:rPr>
                <w:rFonts w:ascii="Times New Roman" w:hAnsi="Times New Roman" w:cs="Times New Roman"/>
                <w:b/>
                <w:bCs/>
                <w:sz w:val="28"/>
                <w:szCs w:val="28"/>
              </w:rPr>
              <w:t xml:space="preserve">UYGULANACAK CEZALAR  </w:t>
            </w:r>
          </w:p>
          <w:p w14:paraId="6415B9D4"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b/>
                <w:bCs/>
                <w:sz w:val="28"/>
                <w:szCs w:val="28"/>
              </w:rPr>
              <w:t>(Uyarma, Para Cezası (TL), Askıya Alma, İznin İptali)</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86E949"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b/>
                <w:bCs/>
                <w:sz w:val="28"/>
                <w:szCs w:val="28"/>
              </w:rPr>
              <w:t>İlk uygunsuzluk durumunda</w:t>
            </w:r>
          </w:p>
        </w:tc>
        <w:tc>
          <w:tcPr>
            <w:tcW w:w="1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2B0653E"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 xml:space="preserve">Aynı takvim yılında </w:t>
            </w:r>
            <w:proofErr w:type="gramStart"/>
            <w:r w:rsidRPr="00312382">
              <w:rPr>
                <w:rFonts w:ascii="Times New Roman" w:hAnsi="Times New Roman" w:cs="Times New Roman"/>
                <w:b/>
                <w:bCs/>
                <w:sz w:val="28"/>
                <w:szCs w:val="28"/>
              </w:rPr>
              <w:t>uygunsuzluğun  1.</w:t>
            </w:r>
            <w:proofErr w:type="gramEnd"/>
            <w:r w:rsidRPr="00312382">
              <w:rPr>
                <w:rFonts w:ascii="Times New Roman" w:hAnsi="Times New Roman" w:cs="Times New Roman"/>
                <w:b/>
                <w:bCs/>
                <w:sz w:val="28"/>
                <w:szCs w:val="28"/>
              </w:rPr>
              <w:t xml:space="preserve"> tekrarı </w:t>
            </w:r>
          </w:p>
        </w:tc>
        <w:tc>
          <w:tcPr>
            <w:tcW w:w="1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428DF8F"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 xml:space="preserve">Aynı takvim yılında </w:t>
            </w:r>
            <w:proofErr w:type="gramStart"/>
            <w:r w:rsidRPr="00312382">
              <w:rPr>
                <w:rFonts w:ascii="Times New Roman" w:hAnsi="Times New Roman" w:cs="Times New Roman"/>
                <w:b/>
                <w:bCs/>
                <w:sz w:val="28"/>
                <w:szCs w:val="28"/>
              </w:rPr>
              <w:t>uygunsuzluğun  2.</w:t>
            </w:r>
            <w:proofErr w:type="gramEnd"/>
            <w:r w:rsidRPr="00312382">
              <w:rPr>
                <w:rFonts w:ascii="Times New Roman" w:hAnsi="Times New Roman" w:cs="Times New Roman"/>
                <w:b/>
                <w:bCs/>
                <w:sz w:val="28"/>
                <w:szCs w:val="28"/>
              </w:rPr>
              <w:t xml:space="preserve"> tekrarı </w:t>
            </w:r>
          </w:p>
        </w:tc>
      </w:tr>
      <w:tr w:rsidR="00BB601D" w:rsidRPr="00312382" w14:paraId="3EF53E94" w14:textId="77777777" w:rsidTr="00BB601D">
        <w:trPr>
          <w:trHeight w:val="513"/>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634FD06"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1</w:t>
            </w:r>
          </w:p>
        </w:tc>
        <w:tc>
          <w:tcPr>
            <w:tcW w:w="7427" w:type="dxa"/>
            <w:tcBorders>
              <w:top w:val="single" w:sz="4" w:space="0" w:color="auto"/>
              <w:left w:val="single" w:sz="2" w:space="0" w:color="auto"/>
              <w:bottom w:val="single" w:sz="2" w:space="0" w:color="auto"/>
              <w:right w:val="single" w:sz="2" w:space="0" w:color="auto"/>
            </w:tcBorders>
            <w:noWrap/>
            <w:tcMar>
              <w:top w:w="0" w:type="dxa"/>
              <w:left w:w="70" w:type="dxa"/>
              <w:bottom w:w="0" w:type="dxa"/>
              <w:right w:w="70" w:type="dxa"/>
            </w:tcMar>
            <w:vAlign w:val="center"/>
          </w:tcPr>
          <w:p w14:paraId="49DBA9FE"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5 inci maddesinin yedinci fıkrasında yer alan yolcu ve araç yoğunluğunun oluştuğu özel günlerde işletmeci kalktığı ve yanaştığı liman/iskele işleticilerinin uygun görüşü olmadan ve/veya liman başkanlıklarına bilgi verilmeden ek sefer yapması.</w:t>
            </w:r>
          </w:p>
        </w:tc>
        <w:tc>
          <w:tcPr>
            <w:tcW w:w="2268" w:type="dxa"/>
            <w:tcBorders>
              <w:top w:val="single" w:sz="4" w:space="0" w:color="auto"/>
              <w:left w:val="single" w:sz="2" w:space="0" w:color="auto"/>
              <w:bottom w:val="single" w:sz="2" w:space="0" w:color="auto"/>
              <w:right w:val="single" w:sz="2" w:space="0" w:color="auto"/>
            </w:tcBorders>
            <w:noWrap/>
            <w:tcMar>
              <w:top w:w="0" w:type="dxa"/>
              <w:left w:w="70" w:type="dxa"/>
              <w:bottom w:w="0" w:type="dxa"/>
              <w:right w:w="70" w:type="dxa"/>
            </w:tcMar>
            <w:vAlign w:val="center"/>
          </w:tcPr>
          <w:p w14:paraId="0B1554D0"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t>20.000 TL</w:t>
            </w:r>
          </w:p>
        </w:tc>
        <w:tc>
          <w:tcPr>
            <w:tcW w:w="1962" w:type="dxa"/>
            <w:tcBorders>
              <w:top w:val="single" w:sz="4"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C635361"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50.000 TL</w:t>
            </w:r>
          </w:p>
        </w:tc>
        <w:tc>
          <w:tcPr>
            <w:tcW w:w="1962" w:type="dxa"/>
            <w:tcBorders>
              <w:top w:val="single" w:sz="4"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9828356"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80.000 TL</w:t>
            </w:r>
          </w:p>
        </w:tc>
      </w:tr>
      <w:tr w:rsidR="00BB601D" w:rsidRPr="00312382" w14:paraId="14BEE1F8" w14:textId="77777777" w:rsidTr="00BB601D">
        <w:trPr>
          <w:trHeight w:val="513"/>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16E806A"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b/>
                <w:bCs/>
                <w:sz w:val="28"/>
                <w:szCs w:val="28"/>
              </w:rPr>
              <w:t>2</w:t>
            </w:r>
          </w:p>
        </w:tc>
        <w:tc>
          <w:tcPr>
            <w:tcW w:w="7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415BBD"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 fıkrasının (a) bendinde yer alan İdareye ibraz edilen sefer programına uymamak.</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695DD1"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t>Uyarma</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40F3F1"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Grostonx60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DB364D"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Grostonx80 TL</w:t>
            </w:r>
          </w:p>
        </w:tc>
      </w:tr>
      <w:tr w:rsidR="00BB601D" w:rsidRPr="00312382" w14:paraId="1D70BF5B" w14:textId="77777777" w:rsidTr="00BB601D">
        <w:trPr>
          <w:trHeight w:val="836"/>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EFB132"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b/>
                <w:bCs/>
                <w:sz w:val="28"/>
                <w:szCs w:val="28"/>
              </w:rPr>
              <w:t>3</w:t>
            </w:r>
          </w:p>
        </w:tc>
        <w:tc>
          <w:tcPr>
            <w:tcW w:w="7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6DBDA7"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 xml:space="preserve">Yönetmeliğin 10 uncu maddesinin birinci fıkrasının (b) bendinde yer alan mücbir sebeplerle sefer programında meydana gelecek değişiklikleri ilgili liman başkanlıklarına ve hizmetten faydalananlara sefer saatinden önce bildirmemek. Ayrıca seferlerin ilan edildiği tüm iletişim araçlarında ve </w:t>
            </w:r>
            <w:proofErr w:type="spellStart"/>
            <w:r w:rsidRPr="00312382">
              <w:rPr>
                <w:rFonts w:ascii="Times New Roman" w:hAnsi="Times New Roman" w:cs="Times New Roman"/>
                <w:sz w:val="28"/>
                <w:szCs w:val="28"/>
              </w:rPr>
              <w:t>DSBS’de</w:t>
            </w:r>
            <w:proofErr w:type="spellEnd"/>
            <w:r w:rsidRPr="00312382">
              <w:rPr>
                <w:rFonts w:ascii="Times New Roman" w:hAnsi="Times New Roman" w:cs="Times New Roman"/>
                <w:sz w:val="28"/>
                <w:szCs w:val="28"/>
              </w:rPr>
              <w:t xml:space="preserve"> yayımlamamak.  </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119E7D"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t>Uyarma</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F9EDC4"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Grostonx60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232F34"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Grostonx80 TL</w:t>
            </w:r>
          </w:p>
          <w:p w14:paraId="2DD69DCE" w14:textId="77777777" w:rsidR="00BB601D" w:rsidRPr="00312382" w:rsidRDefault="00BB601D" w:rsidP="00395449">
            <w:pPr>
              <w:jc w:val="center"/>
              <w:rPr>
                <w:rFonts w:ascii="Times New Roman" w:hAnsi="Times New Roman" w:cs="Times New Roman"/>
                <w:bCs/>
                <w:sz w:val="28"/>
                <w:szCs w:val="28"/>
              </w:rPr>
            </w:pPr>
          </w:p>
        </w:tc>
      </w:tr>
      <w:tr w:rsidR="00BB601D" w:rsidRPr="00312382" w14:paraId="68DB01F8" w14:textId="77777777" w:rsidTr="00BB601D">
        <w:trPr>
          <w:trHeight w:val="692"/>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969BF88"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b/>
                <w:bCs/>
                <w:sz w:val="28"/>
                <w:szCs w:val="28"/>
              </w:rPr>
              <w:t>4</w:t>
            </w:r>
          </w:p>
        </w:tc>
        <w:tc>
          <w:tcPr>
            <w:tcW w:w="7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E58419"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 xml:space="preserve">fıkrasının (c) bendinde yer alan mücbir sebepler dışında sefer programında meydana gelecek değişikleri ilgili liman başkanlıklarına ve hizmetten faydalananlara en az üç gün öncesinden bildirmemek. Ayrıca seferlerin ilan edildiği tüm iletişim araçlarında ve </w:t>
            </w:r>
            <w:proofErr w:type="spellStart"/>
            <w:r w:rsidRPr="00312382">
              <w:rPr>
                <w:rFonts w:ascii="Times New Roman" w:hAnsi="Times New Roman" w:cs="Times New Roman"/>
                <w:sz w:val="28"/>
                <w:szCs w:val="28"/>
              </w:rPr>
              <w:t>DSBS’de</w:t>
            </w:r>
            <w:proofErr w:type="spellEnd"/>
            <w:r w:rsidRPr="00312382">
              <w:rPr>
                <w:rFonts w:ascii="Times New Roman" w:hAnsi="Times New Roman" w:cs="Times New Roman"/>
                <w:sz w:val="28"/>
                <w:szCs w:val="28"/>
              </w:rPr>
              <w:t xml:space="preserve"> yayımlamamak.</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0975B1" w14:textId="77777777" w:rsidR="00BB601D" w:rsidRPr="00312382" w:rsidRDefault="00BB601D" w:rsidP="00395449">
            <w:pPr>
              <w:jc w:val="center"/>
              <w:rPr>
                <w:rFonts w:ascii="Times New Roman" w:hAnsi="Times New Roman" w:cs="Times New Roman"/>
                <w:sz w:val="28"/>
                <w:szCs w:val="28"/>
              </w:rPr>
            </w:pPr>
          </w:p>
          <w:p w14:paraId="7DF4F37E" w14:textId="77777777" w:rsidR="00BB601D" w:rsidRPr="00312382" w:rsidRDefault="00BB601D" w:rsidP="00395449">
            <w:pPr>
              <w:spacing w:line="480" w:lineRule="auto"/>
              <w:jc w:val="center"/>
              <w:rPr>
                <w:rFonts w:ascii="Times New Roman" w:hAnsi="Times New Roman" w:cs="Times New Roman"/>
                <w:sz w:val="28"/>
                <w:szCs w:val="28"/>
              </w:rPr>
            </w:pPr>
            <w:r w:rsidRPr="00312382">
              <w:rPr>
                <w:rFonts w:ascii="Times New Roman" w:hAnsi="Times New Roman" w:cs="Times New Roman"/>
                <w:sz w:val="28"/>
                <w:szCs w:val="28"/>
              </w:rPr>
              <w:t>Uyarma</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2E3411" w14:textId="77777777" w:rsidR="00BB601D" w:rsidRPr="00312382" w:rsidRDefault="00BB601D" w:rsidP="00395449">
            <w:pPr>
              <w:spacing w:line="480" w:lineRule="auto"/>
              <w:jc w:val="center"/>
              <w:rPr>
                <w:rFonts w:ascii="Times New Roman" w:hAnsi="Times New Roman" w:cs="Times New Roman"/>
                <w:bCs/>
                <w:sz w:val="28"/>
                <w:szCs w:val="28"/>
              </w:rPr>
            </w:pPr>
          </w:p>
          <w:p w14:paraId="3C903D6D" w14:textId="77777777" w:rsidR="00BB601D" w:rsidRPr="00312382" w:rsidRDefault="00BB601D" w:rsidP="00395449">
            <w:pPr>
              <w:spacing w:line="600" w:lineRule="auto"/>
              <w:jc w:val="center"/>
              <w:rPr>
                <w:rFonts w:ascii="Times New Roman" w:hAnsi="Times New Roman" w:cs="Times New Roman"/>
                <w:bCs/>
                <w:sz w:val="28"/>
                <w:szCs w:val="28"/>
              </w:rPr>
            </w:pPr>
            <w:r w:rsidRPr="00312382">
              <w:rPr>
                <w:rFonts w:ascii="Times New Roman" w:hAnsi="Times New Roman" w:cs="Times New Roman"/>
                <w:bCs/>
                <w:sz w:val="28"/>
                <w:szCs w:val="28"/>
              </w:rPr>
              <w:t>Grostonx60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9162DB" w14:textId="77777777" w:rsidR="00BB601D" w:rsidRPr="00312382" w:rsidRDefault="00BB601D" w:rsidP="00395449">
            <w:pPr>
              <w:spacing w:line="480" w:lineRule="auto"/>
              <w:jc w:val="center"/>
              <w:rPr>
                <w:rFonts w:ascii="Times New Roman" w:hAnsi="Times New Roman" w:cs="Times New Roman"/>
                <w:bCs/>
                <w:sz w:val="28"/>
                <w:szCs w:val="28"/>
              </w:rPr>
            </w:pPr>
          </w:p>
          <w:p w14:paraId="588A2062" w14:textId="77777777" w:rsidR="00BB601D" w:rsidRPr="00312382" w:rsidRDefault="00BB601D" w:rsidP="00395449">
            <w:pPr>
              <w:spacing w:line="600" w:lineRule="auto"/>
              <w:jc w:val="center"/>
              <w:rPr>
                <w:rFonts w:ascii="Times New Roman" w:hAnsi="Times New Roman" w:cs="Times New Roman"/>
                <w:bCs/>
                <w:sz w:val="28"/>
                <w:szCs w:val="28"/>
              </w:rPr>
            </w:pPr>
            <w:r w:rsidRPr="00312382">
              <w:rPr>
                <w:rFonts w:ascii="Times New Roman" w:hAnsi="Times New Roman" w:cs="Times New Roman"/>
                <w:bCs/>
                <w:sz w:val="28"/>
                <w:szCs w:val="28"/>
              </w:rPr>
              <w:t>Grostonx80 TL</w:t>
            </w:r>
          </w:p>
          <w:p w14:paraId="46092B9D" w14:textId="77777777" w:rsidR="00BB601D" w:rsidRPr="00312382" w:rsidRDefault="00BB601D" w:rsidP="00395449">
            <w:pPr>
              <w:spacing w:line="480" w:lineRule="auto"/>
              <w:jc w:val="center"/>
              <w:rPr>
                <w:rFonts w:ascii="Times New Roman" w:hAnsi="Times New Roman" w:cs="Times New Roman"/>
                <w:bCs/>
                <w:sz w:val="28"/>
                <w:szCs w:val="28"/>
              </w:rPr>
            </w:pPr>
          </w:p>
        </w:tc>
      </w:tr>
      <w:tr w:rsidR="00BB601D" w:rsidRPr="00312382" w14:paraId="3EC10998" w14:textId="77777777" w:rsidTr="00BB601D">
        <w:trPr>
          <w:trHeight w:val="692"/>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4E7826D"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5</w:t>
            </w:r>
          </w:p>
        </w:tc>
        <w:tc>
          <w:tcPr>
            <w:tcW w:w="7427" w:type="dxa"/>
            <w:tcBorders>
              <w:top w:val="nil"/>
              <w:left w:val="nil"/>
              <w:bottom w:val="single" w:sz="8" w:space="0" w:color="auto"/>
              <w:right w:val="single" w:sz="8" w:space="0" w:color="auto"/>
            </w:tcBorders>
            <w:tcMar>
              <w:top w:w="0" w:type="dxa"/>
              <w:left w:w="70" w:type="dxa"/>
              <w:bottom w:w="0" w:type="dxa"/>
              <w:right w:w="70" w:type="dxa"/>
            </w:tcMar>
            <w:vAlign w:val="center"/>
          </w:tcPr>
          <w:p w14:paraId="308368B0"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 xml:space="preserve">fıkrasının (ç) bendinde yer alan işletmecinin ve/veya işletmeci </w:t>
            </w:r>
            <w:proofErr w:type="spellStart"/>
            <w:r w:rsidRPr="00312382">
              <w:rPr>
                <w:rFonts w:ascii="Times New Roman" w:hAnsi="Times New Roman" w:cs="Times New Roman"/>
                <w:sz w:val="28"/>
                <w:szCs w:val="28"/>
              </w:rPr>
              <w:t>ünvan</w:t>
            </w:r>
            <w:proofErr w:type="spellEnd"/>
            <w:r w:rsidRPr="00312382">
              <w:rPr>
                <w:rFonts w:ascii="Times New Roman" w:hAnsi="Times New Roman" w:cs="Times New Roman"/>
                <w:sz w:val="28"/>
                <w:szCs w:val="28"/>
              </w:rPr>
              <w:t xml:space="preserve"> değişikliğini ve </w:t>
            </w:r>
            <w:r w:rsidRPr="00312382">
              <w:rPr>
                <w:rFonts w:ascii="Times New Roman" w:hAnsi="Times New Roman" w:cs="Times New Roman"/>
                <w:sz w:val="28"/>
                <w:szCs w:val="28"/>
              </w:rPr>
              <w:lastRenderedPageBreak/>
              <w:t>gemi ismi değişikliğini İdareye bildirmeden düzenli seferlere devam etmek.</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3C5400A7"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lastRenderedPageBreak/>
              <w:t>10.000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tcPr>
          <w:p w14:paraId="7DA9E2E7"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25.000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tcPr>
          <w:p w14:paraId="7972A8C2"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50.000 TL</w:t>
            </w:r>
          </w:p>
        </w:tc>
      </w:tr>
      <w:tr w:rsidR="00BB601D" w:rsidRPr="00312382" w14:paraId="60AD22ED" w14:textId="77777777" w:rsidTr="00BB601D">
        <w:trPr>
          <w:trHeight w:val="556"/>
          <w:jc w:val="center"/>
        </w:trPr>
        <w:tc>
          <w:tcPr>
            <w:tcW w:w="968"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0E99F473"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b/>
                <w:bCs/>
                <w:sz w:val="28"/>
                <w:szCs w:val="28"/>
              </w:rPr>
              <w:t>6</w:t>
            </w:r>
          </w:p>
        </w:tc>
        <w:tc>
          <w:tcPr>
            <w:tcW w:w="7427"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343864A"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 fıkrasının (d) bendinde yer alan taşınan araç, yük ve yolculara ilişkin detaylı verileri İdarenin belirlediği usul ve esaslara göre bildirmemek.</w:t>
            </w:r>
          </w:p>
        </w:tc>
        <w:tc>
          <w:tcPr>
            <w:tcW w:w="226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083ACA9"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t>Uyarma</w:t>
            </w:r>
          </w:p>
        </w:tc>
        <w:tc>
          <w:tcPr>
            <w:tcW w:w="1962"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68398D3"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Hat başına 10.000 TL</w:t>
            </w:r>
          </w:p>
        </w:tc>
        <w:tc>
          <w:tcPr>
            <w:tcW w:w="1962"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18AB0CB"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Hat başına 20.000 TL</w:t>
            </w:r>
          </w:p>
        </w:tc>
      </w:tr>
      <w:tr w:rsidR="00BB601D" w:rsidRPr="00312382" w14:paraId="00063D70" w14:textId="77777777" w:rsidTr="00BB601D">
        <w:trPr>
          <w:trHeight w:val="425"/>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D21CD5D"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7</w:t>
            </w:r>
          </w:p>
        </w:tc>
        <w:tc>
          <w:tcPr>
            <w:tcW w:w="74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4D05EDF"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fıkrasının (e) bendinde yer alan taşınan araç ve araç içi yük miktarına ilişkin verileri İdarenin belirlediği usul ve esaslara göre bildirmemek.</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D4750B"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Uyarma</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9AED47"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Hat başına 10.000 TL</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8DA52B"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Hat başına 20.000 TL</w:t>
            </w:r>
          </w:p>
        </w:tc>
      </w:tr>
      <w:tr w:rsidR="00BB601D" w:rsidRPr="00312382" w14:paraId="13E15ACD" w14:textId="77777777" w:rsidTr="00BB601D">
        <w:trPr>
          <w:trHeight w:val="425"/>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A6FAADD" w14:textId="77777777" w:rsidR="00BB601D" w:rsidRPr="00312382" w:rsidRDefault="00BB601D" w:rsidP="00395449">
            <w:pPr>
              <w:jc w:val="center"/>
              <w:rPr>
                <w:rFonts w:ascii="Times New Roman" w:hAnsi="Times New Roman" w:cs="Times New Roman"/>
                <w:b/>
                <w:sz w:val="28"/>
                <w:szCs w:val="28"/>
              </w:rPr>
            </w:pPr>
            <w:r w:rsidRPr="00312382">
              <w:rPr>
                <w:rFonts w:ascii="Times New Roman" w:hAnsi="Times New Roman" w:cs="Times New Roman"/>
                <w:b/>
                <w:sz w:val="28"/>
                <w:szCs w:val="28"/>
              </w:rPr>
              <w:t>8</w:t>
            </w:r>
          </w:p>
        </w:tc>
        <w:tc>
          <w:tcPr>
            <w:tcW w:w="74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8FA8419"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fıkrasının (f) bendinde yer alan denizyolundan başka ulaşım imkânı olmayan yerler için İdare tarafından alınacak kararlara uymamak.</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AABA32"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Uyarma</w:t>
            </w:r>
          </w:p>
          <w:p w14:paraId="59B5F564" w14:textId="77777777" w:rsidR="00BB601D" w:rsidRPr="00312382" w:rsidRDefault="00BB601D" w:rsidP="00395449">
            <w:pPr>
              <w:jc w:val="center"/>
              <w:rPr>
                <w:rFonts w:ascii="Times New Roman" w:hAnsi="Times New Roman" w:cs="Times New Roman"/>
                <w:sz w:val="28"/>
                <w:szCs w:val="28"/>
              </w:rPr>
            </w:pP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493E661" w14:textId="77777777" w:rsidR="00BB601D" w:rsidRPr="00312382" w:rsidRDefault="00BB601D" w:rsidP="00395449">
            <w:pPr>
              <w:jc w:val="center"/>
              <w:rPr>
                <w:rFonts w:ascii="Times New Roman" w:hAnsi="Times New Roman" w:cs="Times New Roman"/>
                <w:bCs/>
                <w:sz w:val="28"/>
                <w:szCs w:val="28"/>
              </w:rPr>
            </w:pPr>
          </w:p>
          <w:p w14:paraId="28F9E40B"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10.000 TL</w:t>
            </w:r>
          </w:p>
          <w:p w14:paraId="15AE3471" w14:textId="77777777" w:rsidR="00BB601D" w:rsidRPr="00312382" w:rsidRDefault="00BB601D" w:rsidP="00395449">
            <w:pPr>
              <w:jc w:val="center"/>
              <w:rPr>
                <w:rFonts w:ascii="Times New Roman" w:hAnsi="Times New Roman" w:cs="Times New Roman"/>
                <w:bCs/>
                <w:sz w:val="28"/>
                <w:szCs w:val="28"/>
              </w:rPr>
            </w:pPr>
          </w:p>
          <w:p w14:paraId="571EA09A" w14:textId="77777777" w:rsidR="00BB601D" w:rsidRPr="00312382" w:rsidRDefault="00BB601D" w:rsidP="00395449">
            <w:pPr>
              <w:jc w:val="center"/>
              <w:rPr>
                <w:rFonts w:ascii="Times New Roman" w:hAnsi="Times New Roman" w:cs="Times New Roman"/>
                <w:bCs/>
                <w:sz w:val="28"/>
                <w:szCs w:val="28"/>
              </w:rPr>
            </w:pP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040DB5"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20.000 TL</w:t>
            </w:r>
          </w:p>
          <w:p w14:paraId="2F8EC9D2" w14:textId="77777777" w:rsidR="00BB601D" w:rsidRPr="00312382" w:rsidRDefault="00BB601D" w:rsidP="00395449">
            <w:pPr>
              <w:rPr>
                <w:rFonts w:ascii="Times New Roman" w:hAnsi="Times New Roman" w:cs="Times New Roman"/>
                <w:bCs/>
                <w:sz w:val="28"/>
                <w:szCs w:val="28"/>
              </w:rPr>
            </w:pPr>
          </w:p>
        </w:tc>
      </w:tr>
      <w:tr w:rsidR="00BB601D" w:rsidRPr="00312382" w14:paraId="03876447" w14:textId="77777777" w:rsidTr="00BB601D">
        <w:trPr>
          <w:trHeight w:val="845"/>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7653853" w14:textId="77777777" w:rsidR="00BB601D" w:rsidRPr="00312382" w:rsidRDefault="00BB601D" w:rsidP="00395449">
            <w:pPr>
              <w:jc w:val="center"/>
              <w:rPr>
                <w:rFonts w:ascii="Times New Roman" w:hAnsi="Times New Roman" w:cs="Times New Roman"/>
                <w:b/>
                <w:sz w:val="28"/>
                <w:szCs w:val="28"/>
              </w:rPr>
            </w:pPr>
            <w:r w:rsidRPr="00312382">
              <w:rPr>
                <w:rFonts w:ascii="Times New Roman" w:hAnsi="Times New Roman" w:cs="Times New Roman"/>
                <w:b/>
                <w:sz w:val="28"/>
                <w:szCs w:val="28"/>
              </w:rPr>
              <w:t>9</w:t>
            </w:r>
          </w:p>
        </w:tc>
        <w:tc>
          <w:tcPr>
            <w:tcW w:w="7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2E976E"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 xml:space="preserve">fıkrasının (g) bendinde yer alan süresi biten </w:t>
            </w:r>
            <w:r w:rsidRPr="00312382">
              <w:rPr>
                <w:rFonts w:ascii="Times New Roman" w:hAnsi="Times New Roman" w:cs="Times New Roman"/>
                <w:color w:val="000000" w:themeColor="text1"/>
                <w:sz w:val="28"/>
                <w:szCs w:val="28"/>
              </w:rPr>
              <w:t xml:space="preserve">veya geçerliliğini yitiren sigorta </w:t>
            </w:r>
            <w:r w:rsidRPr="00312382">
              <w:rPr>
                <w:rFonts w:ascii="Times New Roman" w:hAnsi="Times New Roman" w:cs="Times New Roman"/>
                <w:sz w:val="28"/>
                <w:szCs w:val="28"/>
              </w:rPr>
              <w:t>poliçesini yenilememek ve ibraz etmemek.</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74112E" w14:textId="77777777" w:rsidR="00BB601D" w:rsidRPr="00312382" w:rsidRDefault="00BB601D" w:rsidP="00395449">
            <w:pPr>
              <w:jc w:val="center"/>
              <w:rPr>
                <w:rFonts w:ascii="Times New Roman" w:hAnsi="Times New Roman" w:cs="Times New Roman"/>
                <w:sz w:val="28"/>
                <w:szCs w:val="28"/>
              </w:rPr>
            </w:pPr>
          </w:p>
          <w:p w14:paraId="56C3F0B8" w14:textId="77777777" w:rsidR="00BB601D" w:rsidRPr="00312382" w:rsidRDefault="00BB601D" w:rsidP="00395449">
            <w:pPr>
              <w:spacing w:line="600" w:lineRule="auto"/>
              <w:jc w:val="center"/>
              <w:rPr>
                <w:rFonts w:ascii="Times New Roman" w:hAnsi="Times New Roman" w:cs="Times New Roman"/>
                <w:sz w:val="28"/>
                <w:szCs w:val="28"/>
              </w:rPr>
            </w:pPr>
            <w:r w:rsidRPr="00312382">
              <w:rPr>
                <w:rFonts w:ascii="Times New Roman" w:hAnsi="Times New Roman" w:cs="Times New Roman"/>
                <w:sz w:val="28"/>
                <w:szCs w:val="28"/>
              </w:rPr>
              <w:t>Hat izni askıya alınır.</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F6A8F9"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Hat İzni İptali</w:t>
            </w:r>
          </w:p>
          <w:p w14:paraId="52BD2209"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sz w:val="28"/>
                <w:szCs w:val="28"/>
              </w:rPr>
              <w:t>(15 gün içerisinde poliçenin yenilenmemesi)</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CCF9B58"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w:t>
            </w:r>
          </w:p>
        </w:tc>
      </w:tr>
      <w:tr w:rsidR="00BB601D" w:rsidRPr="00312382" w14:paraId="60925F5C" w14:textId="77777777" w:rsidTr="00BB601D">
        <w:trPr>
          <w:trHeight w:val="554"/>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C1E9B15"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b/>
                <w:bCs/>
                <w:sz w:val="28"/>
                <w:szCs w:val="28"/>
              </w:rPr>
              <w:t>10</w:t>
            </w:r>
          </w:p>
        </w:tc>
        <w:tc>
          <w:tcPr>
            <w:tcW w:w="7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3063AC"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 xml:space="preserve">fıkrasının (ğ) bendinde yer alan gemilerde yolcu ve araçların yükleme, boşaltma ve seyir süresince durumlarını görüntülü olarak kaydeden kamera </w:t>
            </w:r>
            <w:r w:rsidRPr="00312382">
              <w:rPr>
                <w:rFonts w:ascii="Times New Roman" w:hAnsi="Times New Roman" w:cs="Times New Roman"/>
                <w:sz w:val="28"/>
                <w:szCs w:val="28"/>
              </w:rPr>
              <w:lastRenderedPageBreak/>
              <w:t>sistemlerini kurmamak, bahse konu kayıtları en az bir ay süreyle saklamamak.</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6C9ED2"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lastRenderedPageBreak/>
              <w:t>Uyarma</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158FE4"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Grostonx60 TL</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43E011C"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Grostonx80 TL</w:t>
            </w:r>
          </w:p>
          <w:p w14:paraId="29BD5C80" w14:textId="77777777" w:rsidR="00BB601D" w:rsidRPr="00312382" w:rsidRDefault="00BB601D" w:rsidP="00395449">
            <w:pPr>
              <w:jc w:val="center"/>
              <w:rPr>
                <w:rFonts w:ascii="Times New Roman" w:hAnsi="Times New Roman" w:cs="Times New Roman"/>
                <w:bCs/>
                <w:sz w:val="28"/>
                <w:szCs w:val="28"/>
              </w:rPr>
            </w:pPr>
          </w:p>
        </w:tc>
      </w:tr>
      <w:tr w:rsidR="00BB601D" w:rsidRPr="00312382" w14:paraId="3F27F7DE" w14:textId="77777777" w:rsidTr="00BB601D">
        <w:trPr>
          <w:trHeight w:val="767"/>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A61237C"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b/>
                <w:bCs/>
                <w:sz w:val="28"/>
                <w:szCs w:val="28"/>
              </w:rPr>
              <w:t>11</w:t>
            </w:r>
          </w:p>
        </w:tc>
        <w:tc>
          <w:tcPr>
            <w:tcW w:w="7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9B4ECC"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 xml:space="preserve">fıkrasının (h) bendinde yer alan işletmecinin </w:t>
            </w:r>
            <w:proofErr w:type="spellStart"/>
            <w:r w:rsidRPr="00312382">
              <w:rPr>
                <w:rFonts w:ascii="Times New Roman" w:hAnsi="Times New Roman" w:cs="Times New Roman"/>
                <w:sz w:val="28"/>
                <w:szCs w:val="28"/>
              </w:rPr>
              <w:t>DSBS’de</w:t>
            </w:r>
            <w:proofErr w:type="spellEnd"/>
            <w:r w:rsidRPr="00312382">
              <w:rPr>
                <w:rFonts w:ascii="Times New Roman" w:hAnsi="Times New Roman" w:cs="Times New Roman"/>
                <w:sz w:val="28"/>
                <w:szCs w:val="28"/>
              </w:rPr>
              <w:t xml:space="preserve"> yer alan iletişim bilgilerini güncel tutmaması.</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02AC087"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t>Uyarma</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28BB69"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 xml:space="preserve"> 5.000 TL</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AA5FBF"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 xml:space="preserve">  10.000 TL</w:t>
            </w:r>
          </w:p>
        </w:tc>
      </w:tr>
      <w:tr w:rsidR="00BB601D" w:rsidRPr="00312382" w14:paraId="15F2D34F" w14:textId="77777777" w:rsidTr="00BB601D">
        <w:trPr>
          <w:trHeight w:val="832"/>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B5CE33A"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12</w:t>
            </w:r>
          </w:p>
        </w:tc>
        <w:tc>
          <w:tcPr>
            <w:tcW w:w="7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861145" w14:textId="77777777" w:rsidR="00BB601D" w:rsidRPr="00312382" w:rsidDel="000536D5"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fıkrasının (ı) bendinde yer alan işletmeci, izinli olduğu hatlara ilişkin sefer programları, taşıma ücretleri, iletişim adresleri ve çağrı merkezi numaraları gibi bilgilerin yer aldığı internet sitesi kurmaması ve/veya güncel tutmaması.</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515ECD"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t>Uyarma</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AEDD67"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Cs/>
                <w:sz w:val="28"/>
                <w:szCs w:val="28"/>
              </w:rPr>
              <w:t>20.000 TL</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7086DE"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Cs/>
                <w:sz w:val="28"/>
                <w:szCs w:val="28"/>
              </w:rPr>
              <w:t>40.000 TL</w:t>
            </w:r>
          </w:p>
        </w:tc>
      </w:tr>
      <w:tr w:rsidR="00BB601D" w:rsidRPr="00312382" w14:paraId="2FFFDE82" w14:textId="77777777" w:rsidTr="00BB601D">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14:paraId="1FA13D51"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13</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7BA0813"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fıkrasının (i) bendinde yer alan işletmecinin taşımacılık faaliyetini sonlandırmadan en az yedi gün önce İdareye bildirmemesi.</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6D4647F"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sz w:val="28"/>
                <w:szCs w:val="28"/>
              </w:rPr>
              <w:t>20.000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D201A54" w14:textId="77777777" w:rsidR="00BB601D" w:rsidRPr="00312382" w:rsidRDefault="00BB601D" w:rsidP="00395449">
            <w:pPr>
              <w:jc w:val="center"/>
              <w:rPr>
                <w:rFonts w:ascii="Times New Roman" w:hAnsi="Times New Roman" w:cs="Times New Roman"/>
                <w:bCs/>
                <w:sz w:val="28"/>
                <w:szCs w:val="28"/>
              </w:rPr>
            </w:pP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39ED936" w14:textId="77777777" w:rsidR="00BB601D" w:rsidRPr="00312382" w:rsidRDefault="00BB601D" w:rsidP="00395449">
            <w:pPr>
              <w:jc w:val="center"/>
              <w:rPr>
                <w:rFonts w:ascii="Times New Roman" w:hAnsi="Times New Roman" w:cs="Times New Roman"/>
                <w:bCs/>
                <w:sz w:val="28"/>
                <w:szCs w:val="28"/>
              </w:rPr>
            </w:pPr>
          </w:p>
        </w:tc>
      </w:tr>
      <w:tr w:rsidR="00BB601D" w:rsidRPr="00312382" w14:paraId="4720D525" w14:textId="77777777" w:rsidTr="00BB601D">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14:paraId="0607FEAA"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14</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BC186A3"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fıkrasının (j) bendinde yer alan şehirlerarası ve Güney Marmara ile Ege Denizindeki adalara yapılan taşımacılık faaliyetinde bulunan işletmecilerin online bilet satış sistemi kurmaması.</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A5714F9"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sz w:val="28"/>
                <w:szCs w:val="28"/>
              </w:rPr>
              <w:t>Uyarma</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9CC74BE"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30.000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3A7602A"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60.000 TL</w:t>
            </w:r>
          </w:p>
        </w:tc>
      </w:tr>
      <w:tr w:rsidR="00BB601D" w:rsidRPr="00312382" w14:paraId="504D74FC" w14:textId="77777777" w:rsidTr="00BB601D">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14:paraId="519DB486"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15</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A23487B"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fıkrasının (k) bendinde yer alan yolcu taşımacılığı faaliyetinde bulunan işletmecilerin, yolcu salonlarında geminin emniyet sistemine uygun videolarla bilgilendirme yapmaması.</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6A05B52"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sz w:val="28"/>
                <w:szCs w:val="28"/>
              </w:rPr>
              <w:t>Uyarma</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0DC1AF3"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5.000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702C507"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10.000 TL</w:t>
            </w:r>
          </w:p>
        </w:tc>
      </w:tr>
      <w:tr w:rsidR="00BB601D" w:rsidRPr="00312382" w14:paraId="2FB55757" w14:textId="77777777" w:rsidTr="00BB601D">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14:paraId="468DC069" w14:textId="77777777" w:rsidR="00BB601D" w:rsidRPr="00312382" w:rsidDel="007B2CBF"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lastRenderedPageBreak/>
              <w:t>16</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71B6651" w14:textId="77777777" w:rsidR="00BB601D" w:rsidRPr="00312382"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10 uncu maddesinin ikinci fıkrasında yer alan kıyı tesisi işleticisi tarafından hat iznine sahip gemilerin seferi ile ilgili tespit edilen uygunsuzlukları bildirmemek.</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1311A08"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bCs/>
                <w:sz w:val="28"/>
                <w:szCs w:val="28"/>
              </w:rPr>
              <w:t>20.000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3C047E6"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30.000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29315BB" w14:textId="77777777" w:rsidR="00BB601D" w:rsidRPr="00312382" w:rsidRDefault="00BB601D" w:rsidP="00395449">
            <w:pPr>
              <w:jc w:val="center"/>
              <w:rPr>
                <w:rFonts w:ascii="Times New Roman" w:hAnsi="Times New Roman" w:cs="Times New Roman"/>
                <w:bCs/>
                <w:sz w:val="28"/>
                <w:szCs w:val="28"/>
              </w:rPr>
            </w:pPr>
            <w:r w:rsidRPr="00312382">
              <w:rPr>
                <w:rFonts w:ascii="Times New Roman" w:hAnsi="Times New Roman" w:cs="Times New Roman"/>
                <w:bCs/>
                <w:sz w:val="28"/>
                <w:szCs w:val="28"/>
              </w:rPr>
              <w:t>50.000 TL</w:t>
            </w:r>
          </w:p>
        </w:tc>
      </w:tr>
      <w:tr w:rsidR="00BB601D" w:rsidRPr="00312382" w14:paraId="1C38662B" w14:textId="77777777" w:rsidTr="00BB601D">
        <w:trPr>
          <w:trHeight w:val="726"/>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14:paraId="5AE4651E"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17</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70818CD" w14:textId="77777777" w:rsidR="00BB601D" w:rsidRPr="00312382" w:rsidDel="000536D5"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11 inci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fıkrasının (c) bendinde yer alan yanıltıcı tanıtım ve reklam yapılması.</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CAC2F56"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t>Uyarma</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4A0DF4A"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Cs/>
                <w:sz w:val="28"/>
                <w:szCs w:val="28"/>
              </w:rPr>
              <w:t>20.000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AA30D0C"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Cs/>
                <w:sz w:val="28"/>
                <w:szCs w:val="28"/>
              </w:rPr>
              <w:t>40.000 TL</w:t>
            </w:r>
          </w:p>
        </w:tc>
      </w:tr>
      <w:tr w:rsidR="00BB601D" w:rsidRPr="00312382" w14:paraId="0AB69298" w14:textId="77777777" w:rsidTr="00BB601D">
        <w:trPr>
          <w:trHeight w:val="738"/>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14:paraId="3AB44D2C"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18</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2016AC0" w14:textId="77777777" w:rsidR="00BB601D" w:rsidRPr="00312382" w:rsidDel="000536D5" w:rsidRDefault="00BB601D" w:rsidP="00395449">
            <w:pPr>
              <w:jc w:val="both"/>
              <w:rPr>
                <w:rFonts w:ascii="Times New Roman" w:hAnsi="Times New Roman" w:cs="Times New Roman"/>
                <w:strike/>
                <w:sz w:val="28"/>
                <w:szCs w:val="28"/>
              </w:rPr>
            </w:pPr>
            <w:r w:rsidRPr="00312382">
              <w:rPr>
                <w:rFonts w:ascii="Times New Roman" w:hAnsi="Times New Roman" w:cs="Times New Roman"/>
                <w:sz w:val="28"/>
                <w:szCs w:val="28"/>
              </w:rPr>
              <w:t>Yönetmeliğin 11 inci maddesinin birinci</w:t>
            </w:r>
            <w:r w:rsidRPr="00312382" w:rsidDel="00D83AF4">
              <w:rPr>
                <w:rFonts w:ascii="Times New Roman" w:hAnsi="Times New Roman" w:cs="Times New Roman"/>
                <w:sz w:val="28"/>
                <w:szCs w:val="28"/>
              </w:rPr>
              <w:t xml:space="preserve"> </w:t>
            </w:r>
            <w:r w:rsidRPr="00312382">
              <w:rPr>
                <w:rFonts w:ascii="Times New Roman" w:hAnsi="Times New Roman" w:cs="Times New Roman"/>
                <w:sz w:val="28"/>
                <w:szCs w:val="28"/>
              </w:rPr>
              <w:t xml:space="preserve">fıkrasının (ç) bendinde yer alan işletmecinin geminin kapasitesinden fazla yolcu/araç bileti satması. </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B691273"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sz w:val="28"/>
                <w:szCs w:val="28"/>
              </w:rPr>
              <w:t>20.000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8F5C9A8"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Cs/>
                <w:sz w:val="28"/>
                <w:szCs w:val="28"/>
              </w:rPr>
              <w:t>50.000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845D984"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Cs/>
                <w:sz w:val="28"/>
                <w:szCs w:val="28"/>
              </w:rPr>
              <w:t>100.000 TL</w:t>
            </w:r>
          </w:p>
        </w:tc>
      </w:tr>
      <w:tr w:rsidR="00BB601D" w:rsidRPr="00312382" w14:paraId="52B30B5F" w14:textId="77777777" w:rsidTr="00BB601D">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14:paraId="19228B71"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
                <w:bCs/>
                <w:sz w:val="28"/>
                <w:szCs w:val="28"/>
              </w:rPr>
              <w:t>19</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D4C26B2" w14:textId="77777777" w:rsidR="00BB601D" w:rsidRPr="00312382" w:rsidDel="000536D5" w:rsidRDefault="00BB601D" w:rsidP="00395449">
            <w:pPr>
              <w:jc w:val="both"/>
              <w:rPr>
                <w:rFonts w:ascii="Times New Roman" w:hAnsi="Times New Roman" w:cs="Times New Roman"/>
                <w:sz w:val="28"/>
                <w:szCs w:val="28"/>
              </w:rPr>
            </w:pPr>
            <w:r w:rsidRPr="00312382">
              <w:rPr>
                <w:rFonts w:ascii="Times New Roman" w:hAnsi="Times New Roman" w:cs="Times New Roman"/>
                <w:sz w:val="28"/>
                <w:szCs w:val="28"/>
              </w:rPr>
              <w:t>Yönetmeliğin 11 inci maddesinin birinci</w:t>
            </w:r>
            <w:r w:rsidRPr="00312382" w:rsidDel="00C725EC">
              <w:rPr>
                <w:rFonts w:ascii="Times New Roman" w:hAnsi="Times New Roman" w:cs="Times New Roman"/>
                <w:sz w:val="28"/>
                <w:szCs w:val="28"/>
              </w:rPr>
              <w:t xml:space="preserve"> </w:t>
            </w:r>
            <w:r w:rsidRPr="00312382">
              <w:rPr>
                <w:rFonts w:ascii="Times New Roman" w:hAnsi="Times New Roman" w:cs="Times New Roman"/>
                <w:sz w:val="28"/>
                <w:szCs w:val="28"/>
              </w:rPr>
              <w:t>fıkrasının (d) bendinde yer alan hat izni olmayan veya askıya alınan hatlarda düzenli sefer yapılması.</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D7560CA" w14:textId="77777777" w:rsidR="00BB601D" w:rsidRPr="00312382" w:rsidRDefault="00BB601D" w:rsidP="00395449">
            <w:pPr>
              <w:jc w:val="center"/>
              <w:rPr>
                <w:rFonts w:ascii="Times New Roman" w:hAnsi="Times New Roman" w:cs="Times New Roman"/>
                <w:sz w:val="28"/>
                <w:szCs w:val="28"/>
              </w:rPr>
            </w:pPr>
            <w:r w:rsidRPr="00312382">
              <w:rPr>
                <w:rFonts w:ascii="Times New Roman" w:hAnsi="Times New Roman" w:cs="Times New Roman"/>
                <w:bCs/>
                <w:sz w:val="28"/>
                <w:szCs w:val="28"/>
              </w:rPr>
              <w:t>Grostonx100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B0F1554"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Cs/>
                <w:sz w:val="28"/>
                <w:szCs w:val="28"/>
              </w:rPr>
              <w:t>Grostonx150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CB1F939" w14:textId="77777777" w:rsidR="00BB601D" w:rsidRPr="00312382" w:rsidRDefault="00BB601D" w:rsidP="00395449">
            <w:pPr>
              <w:jc w:val="center"/>
              <w:rPr>
                <w:rFonts w:ascii="Times New Roman" w:hAnsi="Times New Roman" w:cs="Times New Roman"/>
                <w:b/>
                <w:bCs/>
                <w:sz w:val="28"/>
                <w:szCs w:val="28"/>
              </w:rPr>
            </w:pPr>
            <w:r w:rsidRPr="00312382">
              <w:rPr>
                <w:rFonts w:ascii="Times New Roman" w:hAnsi="Times New Roman" w:cs="Times New Roman"/>
                <w:bCs/>
                <w:sz w:val="28"/>
                <w:szCs w:val="28"/>
              </w:rPr>
              <w:t>Grostonx200 TL</w:t>
            </w:r>
          </w:p>
        </w:tc>
      </w:tr>
      <w:bookmarkEnd w:id="0"/>
    </w:tbl>
    <w:p w14:paraId="05DD0CEF" w14:textId="23E06C64" w:rsidR="00671120" w:rsidRPr="00312382" w:rsidRDefault="00671120" w:rsidP="00975BBE">
      <w:pPr>
        <w:pStyle w:val="GvdeMetniGirintisi"/>
        <w:rPr>
          <w:sz w:val="28"/>
          <w:szCs w:val="28"/>
        </w:rPr>
      </w:pPr>
    </w:p>
    <w:p w14:paraId="2D7110AB" w14:textId="77777777" w:rsidR="00015402" w:rsidRPr="00312382" w:rsidRDefault="00015402" w:rsidP="00015402">
      <w:pPr>
        <w:jc w:val="both"/>
        <w:rPr>
          <w:rFonts w:ascii="Times New Roman" w:hAnsi="Times New Roman" w:cs="Times New Roman"/>
          <w:sz w:val="28"/>
          <w:szCs w:val="28"/>
        </w:rPr>
      </w:pPr>
      <w:r w:rsidRPr="00312382">
        <w:rPr>
          <w:rFonts w:ascii="Times New Roman" w:hAnsi="Times New Roman" w:cs="Times New Roman"/>
          <w:b/>
          <w:bCs/>
          <w:sz w:val="28"/>
          <w:szCs w:val="28"/>
        </w:rPr>
        <w:t>AÇIKLAMALAR</w:t>
      </w:r>
    </w:p>
    <w:p w14:paraId="65992D30" w14:textId="77777777" w:rsidR="00015402" w:rsidRPr="00312382" w:rsidRDefault="00015402" w:rsidP="00015402">
      <w:pPr>
        <w:jc w:val="both"/>
        <w:rPr>
          <w:rFonts w:ascii="Times New Roman" w:hAnsi="Times New Roman" w:cs="Times New Roman"/>
          <w:sz w:val="28"/>
          <w:szCs w:val="28"/>
        </w:rPr>
      </w:pPr>
      <w:r w:rsidRPr="00312382">
        <w:rPr>
          <w:rFonts w:ascii="Times New Roman" w:hAnsi="Times New Roman" w:cs="Times New Roman"/>
          <w:sz w:val="28"/>
          <w:szCs w:val="28"/>
        </w:rPr>
        <w:t xml:space="preserve">1- Uygulanacak para cezası, ilgili idari para cezasına esas fiilin işlendiği yıl için belirlenen idari para cezası üst sınırından fazla olamaz. </w:t>
      </w:r>
    </w:p>
    <w:p w14:paraId="406765B3" w14:textId="77777777" w:rsidR="00015402" w:rsidRPr="00312382" w:rsidRDefault="00015402" w:rsidP="00015402">
      <w:pPr>
        <w:jc w:val="both"/>
        <w:rPr>
          <w:rFonts w:ascii="Times New Roman" w:hAnsi="Times New Roman" w:cs="Times New Roman"/>
          <w:sz w:val="28"/>
          <w:szCs w:val="28"/>
        </w:rPr>
      </w:pPr>
      <w:r w:rsidRPr="00312382">
        <w:rPr>
          <w:rFonts w:ascii="Times New Roman" w:hAnsi="Times New Roman" w:cs="Times New Roman"/>
          <w:sz w:val="28"/>
          <w:szCs w:val="28"/>
        </w:rPr>
        <w:t>2- Cezaların değerlendirme süresi takvim yılı içerisinde geçerlidir. Yeni takvim yılına geçilmesi ile gerçekleşecek uygunsuzluk ilk uygunsuzluk olarak değerlendirilecektir.</w:t>
      </w:r>
    </w:p>
    <w:p w14:paraId="2F8327AB" w14:textId="1B201D71" w:rsidR="00015402" w:rsidRPr="00312382" w:rsidRDefault="00015402" w:rsidP="00015402">
      <w:pPr>
        <w:jc w:val="both"/>
        <w:rPr>
          <w:rFonts w:ascii="Times New Roman" w:hAnsi="Times New Roman" w:cs="Times New Roman"/>
          <w:sz w:val="28"/>
          <w:szCs w:val="28"/>
        </w:rPr>
      </w:pPr>
      <w:r w:rsidRPr="00312382">
        <w:rPr>
          <w:rFonts w:ascii="Times New Roman" w:hAnsi="Times New Roman" w:cs="Times New Roman"/>
          <w:sz w:val="28"/>
          <w:szCs w:val="28"/>
        </w:rPr>
        <w:t>3- Uygunsuzluklar birden fazla gemiyi kapsıyorsa yukarıdaki tabloda yer alan cezalar her gemi için ayrı ayrı uygulanır.</w:t>
      </w:r>
    </w:p>
    <w:p w14:paraId="3A163EEF" w14:textId="34D0FB6F" w:rsidR="00B26145" w:rsidRPr="00312382" w:rsidRDefault="00B26145" w:rsidP="00015402">
      <w:pPr>
        <w:jc w:val="both"/>
        <w:rPr>
          <w:rFonts w:ascii="Times New Roman" w:hAnsi="Times New Roman" w:cs="Times New Roman"/>
          <w:sz w:val="28"/>
          <w:szCs w:val="28"/>
        </w:rPr>
      </w:pPr>
      <w:r w:rsidRPr="00312382">
        <w:rPr>
          <w:rFonts w:ascii="Times New Roman" w:hAnsi="Times New Roman" w:cs="Times New Roman"/>
          <w:sz w:val="28"/>
          <w:szCs w:val="28"/>
        </w:rPr>
        <w:t>4- Bedeller her yıl, bir önceki yıla ilişkin olarak 4/1/1961 tarihli ve 213 sayılı Vergi Usul Kanunu uyarınca tespit ve ilan edilen yeniden değerleme oranında, takvim yılı başından geçerli olmak üzere artırılır.</w:t>
      </w:r>
    </w:p>
    <w:p w14:paraId="1A74B86A" w14:textId="7A2AF84E" w:rsidR="00B26145" w:rsidRPr="00312382" w:rsidRDefault="00B26145" w:rsidP="00B26145">
      <w:pPr>
        <w:spacing w:after="0" w:line="240" w:lineRule="auto"/>
        <w:ind w:right="-426"/>
        <w:jc w:val="both"/>
        <w:rPr>
          <w:rFonts w:ascii="Times New Roman" w:eastAsia="Times New Roman" w:hAnsi="Times New Roman" w:cs="Times New Roman"/>
          <w:color w:val="000000" w:themeColor="text1"/>
          <w:sz w:val="28"/>
          <w:szCs w:val="28"/>
          <w:lang w:eastAsia="tr-TR"/>
        </w:rPr>
      </w:pPr>
      <w:r w:rsidRPr="00312382">
        <w:rPr>
          <w:rFonts w:ascii="Times New Roman" w:hAnsi="Times New Roman" w:cs="Times New Roman"/>
          <w:sz w:val="28"/>
          <w:szCs w:val="28"/>
        </w:rPr>
        <w:t>5-Tablodaki ücretler 22.02.2024 ile 31.12.2024 tarihleri arasında geçerlidir.</w:t>
      </w:r>
    </w:p>
    <w:p w14:paraId="504A9E0D" w14:textId="0AD38644" w:rsidR="00B26145" w:rsidRPr="00312382" w:rsidRDefault="00B26145" w:rsidP="00015402">
      <w:pPr>
        <w:jc w:val="both"/>
        <w:rPr>
          <w:rFonts w:ascii="Times New Roman" w:hAnsi="Times New Roman" w:cs="Times New Roman"/>
          <w:sz w:val="28"/>
          <w:szCs w:val="28"/>
        </w:rPr>
      </w:pPr>
    </w:p>
    <w:sectPr w:rsidR="00B26145" w:rsidRPr="00312382" w:rsidSect="00155813">
      <w:pgSz w:w="16838" w:h="11906" w:orient="landscape"/>
      <w:pgMar w:top="284" w:right="70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A6E47"/>
    <w:multiLevelType w:val="hybridMultilevel"/>
    <w:tmpl w:val="E55464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7342FC9"/>
    <w:multiLevelType w:val="hybridMultilevel"/>
    <w:tmpl w:val="CEBC7EE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90852BC"/>
    <w:multiLevelType w:val="hybridMultilevel"/>
    <w:tmpl w:val="8E62F1F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B9F503F"/>
    <w:multiLevelType w:val="hybridMultilevel"/>
    <w:tmpl w:val="0E44AA5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BE"/>
    <w:rsid w:val="00015402"/>
    <w:rsid w:val="00134A20"/>
    <w:rsid w:val="0013562A"/>
    <w:rsid w:val="00155813"/>
    <w:rsid w:val="00165D45"/>
    <w:rsid w:val="001E3B42"/>
    <w:rsid w:val="00312382"/>
    <w:rsid w:val="003132D4"/>
    <w:rsid w:val="003A0B89"/>
    <w:rsid w:val="004659C2"/>
    <w:rsid w:val="00492292"/>
    <w:rsid w:val="00496FE1"/>
    <w:rsid w:val="004D0384"/>
    <w:rsid w:val="00575033"/>
    <w:rsid w:val="00601B86"/>
    <w:rsid w:val="00671120"/>
    <w:rsid w:val="00975BBE"/>
    <w:rsid w:val="00A27537"/>
    <w:rsid w:val="00A416DF"/>
    <w:rsid w:val="00A475EA"/>
    <w:rsid w:val="00B0364D"/>
    <w:rsid w:val="00B07421"/>
    <w:rsid w:val="00B26145"/>
    <w:rsid w:val="00BB601D"/>
    <w:rsid w:val="00D45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0559"/>
  <w15:chartTrackingRefBased/>
  <w15:docId w15:val="{85C13BA2-E53C-4EB5-89A6-84D5D490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975BBE"/>
    <w:pPr>
      <w:spacing w:after="0" w:line="240" w:lineRule="auto"/>
      <w:ind w:left="360"/>
      <w:jc w:val="center"/>
    </w:pPr>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semiHidden/>
    <w:rsid w:val="00975BBE"/>
    <w:rPr>
      <w:rFonts w:ascii="Times New Roman" w:eastAsia="Times New Roman" w:hAnsi="Times New Roman" w:cs="Times New Roman"/>
      <w:b/>
      <w:bCs/>
      <w:sz w:val="24"/>
      <w:szCs w:val="24"/>
      <w:lang w:eastAsia="tr-TR"/>
    </w:rPr>
  </w:style>
  <w:style w:type="character" w:styleId="Kpr">
    <w:name w:val="Hyperlink"/>
    <w:unhideWhenUsed/>
    <w:rsid w:val="00975BBE"/>
    <w:rPr>
      <w:color w:val="0000FF"/>
      <w:u w:val="single"/>
    </w:rPr>
  </w:style>
  <w:style w:type="paragraph" w:styleId="ListeParagraf">
    <w:name w:val="List Paragraph"/>
    <w:basedOn w:val="Normal"/>
    <w:uiPriority w:val="34"/>
    <w:qFormat/>
    <w:rsid w:val="00975BBE"/>
    <w:pPr>
      <w:ind w:left="720"/>
      <w:contextualSpacing/>
    </w:pPr>
  </w:style>
  <w:style w:type="character" w:styleId="zmlenmeyenBahsetme">
    <w:name w:val="Unresolved Mention"/>
    <w:basedOn w:val="VarsaylanParagrafYazTipi"/>
    <w:uiPriority w:val="99"/>
    <w:semiHidden/>
    <w:unhideWhenUsed/>
    <w:rsid w:val="00A475EA"/>
    <w:rPr>
      <w:color w:val="605E5C"/>
      <w:shd w:val="clear" w:color="auto" w:fill="E1DFDD"/>
    </w:rPr>
  </w:style>
  <w:style w:type="character" w:styleId="zlenenKpr">
    <w:name w:val="FollowedHyperlink"/>
    <w:basedOn w:val="VarsaylanParagrafYazTipi"/>
    <w:uiPriority w:val="99"/>
    <w:semiHidden/>
    <w:unhideWhenUsed/>
    <w:rsid w:val="003132D4"/>
    <w:rPr>
      <w:color w:val="954F72" w:themeColor="followedHyperlink"/>
      <w:u w:val="single"/>
    </w:rPr>
  </w:style>
  <w:style w:type="table" w:styleId="TabloKlavuzu">
    <w:name w:val="Table Grid"/>
    <w:basedOn w:val="NormalTablo"/>
    <w:uiPriority w:val="39"/>
    <w:rsid w:val="00B074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15402"/>
    <w:rPr>
      <w:sz w:val="16"/>
      <w:szCs w:val="16"/>
    </w:rPr>
  </w:style>
  <w:style w:type="paragraph" w:styleId="AklamaMetni">
    <w:name w:val="annotation text"/>
    <w:basedOn w:val="Normal"/>
    <w:link w:val="AklamaMetniChar"/>
    <w:uiPriority w:val="99"/>
    <w:semiHidden/>
    <w:unhideWhenUsed/>
    <w:rsid w:val="000154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5402"/>
    <w:rPr>
      <w:sz w:val="20"/>
      <w:szCs w:val="20"/>
    </w:rPr>
  </w:style>
  <w:style w:type="paragraph" w:styleId="AklamaKonusu">
    <w:name w:val="annotation subject"/>
    <w:basedOn w:val="AklamaMetni"/>
    <w:next w:val="AklamaMetni"/>
    <w:link w:val="AklamaKonusuChar"/>
    <w:uiPriority w:val="99"/>
    <w:semiHidden/>
    <w:unhideWhenUsed/>
    <w:rsid w:val="00015402"/>
    <w:rPr>
      <w:b/>
      <w:bCs/>
    </w:rPr>
  </w:style>
  <w:style w:type="character" w:customStyle="1" w:styleId="AklamaKonusuChar">
    <w:name w:val="Açıklama Konusu Char"/>
    <w:basedOn w:val="AklamaMetniChar"/>
    <w:link w:val="AklamaKonusu"/>
    <w:uiPriority w:val="99"/>
    <w:semiHidden/>
    <w:rsid w:val="000154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2359">
      <w:bodyDiv w:val="1"/>
      <w:marLeft w:val="0"/>
      <w:marRight w:val="0"/>
      <w:marTop w:val="0"/>
      <w:marBottom w:val="0"/>
      <w:divBdr>
        <w:top w:val="none" w:sz="0" w:space="0" w:color="auto"/>
        <w:left w:val="none" w:sz="0" w:space="0" w:color="auto"/>
        <w:bottom w:val="none" w:sz="0" w:space="0" w:color="auto"/>
        <w:right w:val="none" w:sz="0" w:space="0" w:color="auto"/>
      </w:divBdr>
    </w:div>
    <w:div w:id="10620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817</Words>
  <Characters>4662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Cesur</dc:creator>
  <cp:keywords/>
  <dc:description/>
  <cp:lastModifiedBy>Hulya Cesur</cp:lastModifiedBy>
  <cp:revision>25</cp:revision>
  <dcterms:created xsi:type="dcterms:W3CDTF">2024-01-26T06:52:00Z</dcterms:created>
  <dcterms:modified xsi:type="dcterms:W3CDTF">2024-02-06T08:41:00Z</dcterms:modified>
</cp:coreProperties>
</file>